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267"/>
        <w:gridCol w:w="371"/>
      </w:tblGrid>
      <w:tr>
        <w:trPr/>
        <w:tc>
          <w:tcPr>
            <w:tcW w:w="9267" w:type="dxa"/>
            <w:tcBorders/>
            <w:shd w:fill="auto" w:val="clear"/>
            <w:vAlign w:val="center"/>
          </w:tcPr>
          <w:p>
            <w:pPr>
              <w:pStyle w:val="TableContents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drawing>
                <wp:inline distT="0" distB="0" distL="0" distR="0">
                  <wp:extent cx="2390775" cy="7429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  <w:vAlign w:val="center"/>
          </w:tcPr>
          <w:p>
            <w:pPr>
              <w:pStyle w:val="HorizontalLine"/>
              <w:pBdr>
                <w:bottom w:val="double" w:sz="2" w:space="0" w:color="000000"/>
              </w:pBdr>
              <w:spacing w:before="0" w:after="283"/>
              <w:rPr>
                <w:rFonts w:ascii="Tahoma;Verdana;sans-serif" w:hAnsi="Tahoma;Verdana;sans-serif" w:eastAsia="Tahoma;Verdana;sans-serif" w:cs="Tahoma;Verdana;sans-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18"/>
                <w:szCs w:val="18"/>
              </w:rPr>
            </w:pPr>
            <w:r>
              <w:rPr>
                <w:rFonts w:eastAsia="Tahoma;Verdana;sans-serif" w:cs="Tahoma;Verdana;sans-serif" w:ascii="Tahoma;Verdana;sans-serif" w:hAnsi="Tahoma;Verdana;sans-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  <w:vAlign w:val="center"/>
          </w:tcPr>
          <w:p>
            <w:pPr>
              <w:pStyle w:val="Heading1"/>
              <w:spacing w:before="240" w:after="120"/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z w:val="27"/>
              </w:rPr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z w:val="27"/>
              </w:rPr>
              <w:t>Ветеринарные, санитарные и ветеринарно-санитарные правила</w:t>
            </w:r>
          </w:p>
          <w:p>
            <w:pPr>
              <w:pStyle w:val="TableContents"/>
              <w:spacing w:before="0" w:after="283"/>
              <w:jc w:val="center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t> 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ПОСТАНОВЛЕНИЕ ГЛАВНОГО ГОСУДАРСТВЕННОГО САНИТАРНОГО ВРАЧА РЕСПУБЛИКИ БЕЛАРУСЬ</w:t>
            </w:r>
          </w:p>
          <w:p>
            <w:pPr>
              <w:pStyle w:val="TableContents"/>
              <w:spacing w:before="0" w:after="283"/>
              <w:jc w:val="center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 октября 1999 г. № 46</w:t>
            </w:r>
          </w:p>
          <w:p>
            <w:pPr>
              <w:pStyle w:val="TableContents"/>
              <w:spacing w:before="0" w:after="283"/>
              <w:jc w:val="center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 введении в действие санитарных правил и норм</w:t>
            </w:r>
          </w:p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rStyle w:val="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(в ред. постановлений Главгоссанврача от 09.10.2006 N 119, Минздрава от 14.12.2007 N 164) 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На основании Закона Республики Беларусь «О санитарно-эпидемическом благополучии населения» ПОСТАНОВЛЯЮ: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0" w:name="1"/>
            <w:bookmarkEnd w:id="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Утвердить и ввести в действие на территории Республики Беларусь через 12 месяцев с момента опубликования санитарные правила и нормы 2.1.4.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10–124 РБ 99».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" w:name="2"/>
            <w:bookmarkEnd w:id="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Приложение 1 СанПиН 10–124 РБ 99 «Правила установления контролируемых показателей качества питьевой воды и составления рабочей программы производственного контроля качества питьевой воды» вступает в силу и подлежит исполнению с 1 января 2000 г.</w:t>
            </w:r>
          </w:p>
          <w:p>
            <w:pPr>
              <w:pStyle w:val="TableContents"/>
              <w:spacing w:before="0" w:after="283"/>
              <w:jc w:val="both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t> 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Главный государственный санитарный врач </w:t>
            </w:r>
          </w:p>
          <w:p>
            <w:pPr>
              <w:pStyle w:val="TableContents"/>
              <w:spacing w:before="0" w:after="283"/>
              <w:jc w:val="both"/>
              <w:rPr/>
            </w:pPr>
            <w:r>
              <w:rPr>
                <w:rStyle w:val="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Республики Беларусь В.П.Филонов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</w:t>
            </w:r>
          </w:p>
          <w:tbl>
            <w:tblPr>
              <w:tblW w:w="495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45"/>
              <w:gridCol w:w="2795"/>
            </w:tblGrid>
            <w:tr>
              <w:trPr/>
              <w:tc>
                <w:tcPr>
                  <w:tcW w:w="6745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2795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УТВЕРЖДЕНО</w:t>
                  </w:r>
                </w:p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Постановление </w:t>
                    <w:br/>
                    <w:t>Главного государственного </w:t>
                    <w:br/>
                    <w:t>санитарного врача </w:t>
                    <w:br/>
                    <w:t>Республики Беларусь</w:t>
                  </w:r>
                </w:p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19.10.1999 № 46</w:t>
                  </w:r>
                </w:p>
              </w:tc>
            </w:tr>
          </w:tbl>
          <w:p>
            <w:pPr>
              <w:pStyle w:val="TableContents"/>
              <w:spacing w:before="0" w:after="283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t>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Дата введения – через 12 месяцев с момента опубликования</w:t>
            </w:r>
          </w:p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2.1.4. ПИТЬЕВАЯ ВОДА И ВОДОСНАБЖЕНИЕ НАСЕЛЕННЫХ МЕСТ</w:t>
            </w:r>
          </w:p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Питьевая вода. Гигиенические требования к качеству воды централизованных систем питьевого водоснабжения. Контроль качества</w:t>
            </w:r>
          </w:p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Санитарные правила и нормы</w:t>
              <w:br/>
              <w:t>СанПиН 10–124 РБ 99</w:t>
            </w:r>
          </w:p>
          <w:p>
            <w:pPr>
              <w:pStyle w:val="TableContents"/>
              <w:spacing w:before="0" w:after="283"/>
              <w:jc w:val="both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Область применения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" w:name="1.1"/>
            <w:bookmarkEnd w:id="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1.1. 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качества» (далее – Санитарные правила) устанавливают гигиенические требования к качеству питьевой воды, а также правилами контроля качества воды, производимой и подаваемой централизованными системами питьевого водоснабжения населенных мест (далее – системы водоснабжения).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" w:name="1.2"/>
            <w:bookmarkEnd w:id="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 Настоящие Санитарные правила разработаны на основании Закона Республики Беларусь «О санитарно-эпидемическом благополучии населения».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" w:name="1.3"/>
            <w:bookmarkEnd w:id="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1.3. Санитарные правила предназначены для органов государственной исполнительной власти и органов местного самоуправления, предприятий, организаций, учреждений и иных юридических лиц (далее – организации), должностных лиц и граждан-предпринимателей без образования юридического лица, деятельность которых связана с проектированием, строительством, эксплуатацией систем водоснабжения и обеспечением населения питьевой водой, а также организаций, осуществляющих государственный и ведомственный санитарно-эпидемиологический надзор.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" w:name="1.4"/>
            <w:bookmarkEnd w:id="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1.4. Санитарные правила применяются в отношении воды, подаваемой системами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требующей применения воды питьевого качества.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" w:name="1.5"/>
            <w:bookmarkEnd w:id="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1.5. Гигиенические требования к качеству питьевой воды при нецентрализованном водоснабжении установлены СанПиН 8–38–98 РБ 98.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" w:name="1.6"/>
            <w:bookmarkEnd w:id="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1.6. Гигиенические требования к качеству питьевой воды, производимой автономными системами водоснабжения, индивидуальными устройствами для приготовления воды, а также реализуемой населению в бутылях или контейнерах, устанавливаются специальными санитарными правилами и нормами. 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Примечание. Автономная система водоснабжения – система водоснабжения отдельных зданий и сооружений. 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" w:name="1.7"/>
            <w:bookmarkEnd w:id="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1.7. Гигиенические требования к хозяйственно-питьевым водопроводам установлены СанПиН 11–05–93.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9" w:name="1.8"/>
            <w:bookmarkEnd w:id="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1.8. Гигиенические требования к зонам санитарной охраны хозяйственно-питьевых водопроводов определяются СанПиН 10–113 РБ 99.</w:t>
            </w:r>
          </w:p>
          <w:p>
            <w:pPr>
              <w:pStyle w:val="TableContents"/>
              <w:spacing w:before="0" w:after="283"/>
              <w:jc w:val="both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Нормативные ссылки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0" w:name="2.1"/>
            <w:bookmarkEnd w:id="1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2.1. Закон Республики Беларусь от 23 ноября 1993 года «О санитарно-эпидемическом благополучии населения» в редакции от 23 мая 2000 года.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1" w:name="2.2"/>
            <w:bookmarkEnd w:id="1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2.2. Положение об осуществлении государственного санитарного надзора в Республике Беларусь, утвержденное постановлением Совета Министров Республики Беларусь от 10 августа 2000 г. № 1236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2" w:name="2.3"/>
            <w:bookmarkEnd w:id="1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 Руководство по контролю качества питьевой воды. Всемирная организация здравоохранения. (Женева, второе аннотированное издание, 1994 г.).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3" w:name="2.4"/>
            <w:bookmarkEnd w:id="1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2.4. Санитарные правила и нормы «Требования к качеству воды при нецентрализованном водоснабжении. Санитарная охрана источников» СанПиН 8–38–98 РБ 98 от 18.11.1998.</w:t>
            </w:r>
          </w:p>
          <w:p>
            <w:pPr>
              <w:pStyle w:val="TableContents"/>
              <w:spacing w:before="0" w:after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4" w:name="2.5"/>
            <w:bookmarkEnd w:id="1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2.5. Гигиенические нормативы «Нормы радиационной безопасности (НРБ-2000)».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5" w:name="2.6"/>
            <w:bookmarkEnd w:id="1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2.6. Государственный стандарт «Источники централизованного хозяйственно-питьевого водоснабжения. Гигиенические, технические требования и правила выбора» ГОСТ 2761–84.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6" w:name="2.7"/>
            <w:bookmarkEnd w:id="1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2.7. Санитарные правила для хозяйственно-питьевых водопроводов № 11–05–93 от 04.05.1993.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7" w:name="2.8"/>
            <w:bookmarkEnd w:id="1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2.8. Зоны санитарной охраны источников водоснабжения и водопроводов хозяйственно-питьевого назначения. СанПиН 10–113 РБ 99 от 04.01.1999.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 Общие положения и гигиенические требования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8" w:name="3.1"/>
            <w:bookmarkEnd w:id="1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3.1. Требования настоящих Санитарных правил должны выполняться при разработке государственных стандартов, строительных норм и правил в области питьевого водоснабжения населения, проектной и технической документации систем водоснабжения, а также при строительстве и эксплуатации систем водоснабжения.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19" w:name="3.2"/>
            <w:bookmarkEnd w:id="1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3.2. Качество питьевой воды, подаваемой системой водоснабжения, должно соответствовать требованиям настоящих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0" w:name="3.3"/>
            <w:bookmarkEnd w:id="2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3.3. Показатели, характеризующие региональные особенности химического состава питьевой воды, устанавливаются индивидуально для каждой системы водоснабжения в соответствии с правилами, указанными в приложении 1.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1" w:name="3.4"/>
            <w:bookmarkEnd w:id="2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3.4. На основании требований настоящих Санитарных правил организация, осуществляющая эксплуатацию системы водоснабжения, разрабатывает рабочую программу производственного контроля качества воды (далее – рабочая программа) в соответствии с правилами, указанными в приложении 1. Рабочая программа, сроки ее внедрения и действия согласовываются с главным государственным санитарным врачом города или района.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2" w:name="3.5"/>
            <w:bookmarkEnd w:id="2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3.5. При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организация, осуществляющая эксплуатацию системы водоснабжения, обязана немедленно принять меры по их устранению и информировать об этом территориальный центр гигиены и эпидемиологии.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Организация, осуществляющая производственный контроль качества питьевой воды, также обязана немедленно информировать указанный центр о каждом результате лабораторного исследования проб воды, не соответствующем гигиеническим нормативам.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Примечание. Авариями на водопроводе считаются повреждения сооружений, трубопроводов, оборудования или нарушения их эксплуатации, вызывающие полное или частичное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1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прекращение подачи воды потребителям.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______________________________</w:t>
            </w:r>
          </w:p>
          <w:p>
            <w:pPr>
              <w:pStyle w:val="TableContents"/>
              <w:spacing w:before="0" w:after="240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1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Объем подаваемой воды не обеспечивает нормативное водопотребление.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3" w:name="3.6"/>
            <w:bookmarkEnd w:id="2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3.6. В случаях, связанных с явлениями природного характера, которые не могут быть заблаговременно предусмотрены, или с аварийными ситуациями, устранение которых не может быть осуществлено немедленно, могут быть допущены временные отклонения от гигиенических нормативов качества питьевой воды только по показателям химического состава, влияющим на органолептические свойства.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4" w:name="3.6.1"/>
            <w:bookmarkEnd w:id="2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3.6.1. Отклонения от гигиенических нормативов допускаются при выполнении следующих условий: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обеспечение населения питьевой водой не может быть достигнуто иным способом;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соблюдения согласованных с органами госсаннадзора на ограниченный период времени максимально допустимых отклонений от гигиенических нормативов;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максимального ограничения срока действия отступлений;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отсутствия угрозы здоровью населения в период действия отклонений: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обеспечения информации населения о введении отклонений и сроках их действия, об отсутствии риска для здоровья, а также о рекомендациях по использованию питьевой воды.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5" w:name="3.6.2"/>
            <w:bookmarkEnd w:id="2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3.6.2. Решение о возможности временного отклонения от гигиенических нормативов качества питьевой воды принимается территориальным исполнительным комитетом по постановлению главного государственного санитарного врача соответствующей территории.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6" w:name="3.6.3"/>
            <w:bookmarkEnd w:id="2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3.6.3. При невозможности ликвидации аварийной ситуации за 3 и более суток одновременно с принятием решения о временном отступлении от гигиенических нормативов органами местного самоуправления утверждается план мероприятий по обеспечению качества воды, соответствующего гигиеническим нормативам, включая календарный план работ, сроки их выполнения и объемы финансирования.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7" w:name="3.7"/>
            <w:bookmarkEnd w:id="2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3.7. Подача питьевой воды населению запрещается или ее использование ограничивается в следующих случаях:</w:t>
            </w:r>
          </w:p>
          <w:p>
            <w:pPr>
              <w:pStyle w:val="TableContents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в установленный срок действия временных отклонений от гигиенических нормативов не устранены причины, обусловливающие ухудшение качества питьевой воды;</w:t>
            </w:r>
          </w:p>
          <w:p>
            <w:pPr>
              <w:pStyle w:val="TableContents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системой водоснабжения не обеспечиваются производство и подача населению питьевой воды, качество которой соответствует требованиям настоящих санитарных правил, в связи с чем имеется реальная опасность для здоровья населения.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8" w:name="3.7.1"/>
            <w:bookmarkEnd w:id="2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3.7.1. Решение о запрещении или ограничении использования населением питьевой воды из конкретной системы водоснабжения принимается органом местного самоуправления по постановлению главного государственного санитарного врача соответствующей территории на основании оценки опасности и риска для здоровья населения, связанных как с дальнейшим потреблением воды, не соответствующей гигиеническим нормативам, так и с прекращением или ограничением ее использования в питьевых и бытовых целях.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29" w:name="3.7.2"/>
            <w:bookmarkEnd w:id="2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3.7.2. В случае постановления главного государственного санитарного врача административной территории о запрещении или ограничении использования питьевой воды организациями, обеспечивающими эксплуатацию системы водоснабжения, разрабатываются по согласованию с территориальным органом госсаннадзора и осуществляются мероприятия, направленные на выявление и устранение причин ухудшения ее качества и обеспечения населения питьевой водой, отвечающей требованиям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0" w:name="3.7.3"/>
            <w:bookmarkEnd w:id="3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3.7.3. Орган местного самоуправления, владельцы хозяйственно-питьевых водопроводов и организации, их эксплуатирующие, центр гигиены и эпидемиологии в обязательном порядке информируют население о принятом решении о запрещении или ограничении использования питьевой воды, о ее качестве, осуществляемых мероприятиях, а также о рекомендациях по действиям населения в данной ситуации.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 Нормативы качества питьевой воды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1" w:name="4.1"/>
            <w:bookmarkEnd w:id="3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4.1. 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2" w:name="4.2"/>
            <w:bookmarkEnd w:id="3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4.2. 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3" w:name="4.3"/>
            <w:bookmarkEnd w:id="3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 Безопасность питьевой воды в эпидемическом отношении определяется отсутствием в ней болезнетворных бактерий, вирусов и простейших микроорганизмов, ее соответствием нормативам по микробиологическим и паразитологическим показателям, представленным в таблице 1.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1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662"/>
              <w:gridCol w:w="3951"/>
              <w:gridCol w:w="1927"/>
            </w:tblGrid>
            <w:tr>
              <w:trPr/>
              <w:tc>
                <w:tcPr>
                  <w:tcW w:w="36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Наименование показателя</w:t>
                  </w:r>
                </w:p>
              </w:tc>
              <w:tc>
                <w:tcPr>
                  <w:tcW w:w="39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Единица измерения</w:t>
                  </w:r>
                </w:p>
              </w:tc>
              <w:tc>
                <w:tcPr>
                  <w:tcW w:w="19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Норматив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Термотолерантные колиформные бактерии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бактерий в 100 см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Отсутствие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Общие колиформные бактерии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1), 2)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бактерий в 100 см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Отсутствие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Общее микробное число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образующих колонии бактерий в 1 см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Не более 50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Колифаги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бляшкообразующих единиц (БОЕ) в 100 см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Отсутствие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Споры сульфитредуцирующих клостридий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4)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спор в 20 см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Отсутствие</w:t>
                  </w:r>
                </w:p>
              </w:tc>
            </w:tr>
            <w:tr>
              <w:trPr/>
              <w:tc>
                <w:tcPr>
                  <w:tcW w:w="366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Цисты лямблий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395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Число цист в 50 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Отсутствие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t> 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Примечания:</w:t>
            </w:r>
          </w:p>
          <w:p>
            <w:pPr>
              <w:pStyle w:val="TableContents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ind w:left="707" w:right="0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определении проводится трехкратное исследование по 100 см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3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отобранной пробы воды.</w:t>
            </w:r>
          </w:p>
          <w:p>
            <w:pPr>
              <w:pStyle w:val="TableContents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Превышение норматива не допускается в 95 % проб, отбираемых в точках водоразбора наружной и внутренней водопроводной сети в течение 12 месяцев, при количестве исследуемых проб не менее 100 за год.</w:t>
            </w:r>
          </w:p>
          <w:p>
            <w:pPr>
              <w:pStyle w:val="TableContents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Определение проводится в системах водоснабжения из поверхностных источников перед подачей воды в распределительную сеть.</w:t>
            </w:r>
          </w:p>
          <w:p>
            <w:pPr>
              <w:pStyle w:val="TableContents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Определение проводится при оценке эффективности технологии обработки воды.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4" w:name="4.3.1"/>
            <w:bookmarkEnd w:id="3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4.3.1. При исследовании микробиологических показателей качества питьевой воды в каждой пробе проводится определение термотолерантных колиформных бактерий, общих колиформных бактерий, общего микробного числа. Порядок исследования других нормируемых микробиологических показателей определяется при составлении рабочей программы производственного контроля качества воды.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5" w:name="4.3.2"/>
            <w:bookmarkEnd w:id="3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4.3.2. При обнаружении в пробе питьевой воды термотолерантных колиформных бактерий и (или) общих колиформных бактерий, и (или) колифагов проводится их определение в повторно взятых в экстренном порядке (в течение суток) пробах воды. В таких случаях для выявления причин загрязнения одновременно проводится определение хлоридов, азота аммонийного, нитратов и нитритов.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6" w:name="4.3.3%2F3"/>
            <w:bookmarkEnd w:id="3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4.3.3. При обнаружении в повторно взятых пробах воды общих колиформных бактерий в количестве более 2 в 100 см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3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и (или) термотолерантных колиформных бактерий, и (или) колифагов проводится исследование пpoб воды для определения патогенных бактерий кишечной группы и (или) энтеровирусов.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7" w:name="4.3.4"/>
            <w:bookmarkEnd w:id="3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4.3.4. Исследования питьевой воды на наличие патогенных бактерий кишечной группы и энтеровирусов проводится также по эпидемиологическим показаниям по решению территориального органа госсаннадзора.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8" w:name="4.3.5"/>
            <w:bookmarkEnd w:id="3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4.3.5. Исследования воды на наличие патогенных микроорганизмов могут проводиться только в лабораториях, имеющих разрешение на выполнение этих работ.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39" w:name="4.4"/>
            <w:bookmarkEnd w:id="3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 Безвредность питьевой воды по химическому составу определяется ее соответствием нормативам по: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0" w:name="4.4.1"/>
            <w:bookmarkEnd w:id="4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4.4.1. Обобщенным показателям и содержанию вредных химических веществ, наиболее часто встречающихся и природных водах на территории Республики Беларусь, а также веществ антропогенного происхождения, получивших глобальное распространение (таблица 2).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1" w:name="4.4.2"/>
            <w:bookmarkEnd w:id="4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4.4.2. Содержанию вредных химических веществ, поступающих и образующихся в воде и процессе ее обработки и системе водоснабжения (таблица 3).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2" w:name="4.4.3"/>
            <w:bookmarkEnd w:id="4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4.4.3. Содержанию вредных химических веществ, поступающих в источники водоснабжения в результате хозяйственной деятельности человека (приложение 2).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3" w:name="4.4.4"/>
            <w:bookmarkEnd w:id="4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4.4.4. Концентрации химических веществ, не указанные в таблицах 2, 3 и приложении 2, но присутствующие в воде в результате промышленного, сельскохозяйственного и бытового загрязнений, не должны превышать предельно допустимые концентрации этих веществ, утвержденные Министерством здравоохранения Республики Беларусь для воды водоемов хозяйственно-питьевого и культурно-бытового водопользования по органолептическому и санитарно-токсикологическому признакам, а также действующих норм радиационной безопасности (НРБ).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Нормативы обобщенных показателей и наиболее распространенных химических веществ в питьевой воде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2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810"/>
              <w:gridCol w:w="1288"/>
              <w:gridCol w:w="2199"/>
              <w:gridCol w:w="1300"/>
              <w:gridCol w:w="944"/>
            </w:tblGrid>
            <w:tr>
              <w:trPr/>
              <w:tc>
                <w:tcPr>
                  <w:tcW w:w="3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Наименование показателя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Единица измерения</w:t>
                  </w:r>
                </w:p>
              </w:tc>
              <w:tc>
                <w:tcPr>
                  <w:tcW w:w="21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Нормативы (предельно допустимые концентрации (ПДК), не более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Показатель вредности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  <w:tc>
                <w:tcPr>
                  <w:tcW w:w="94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Класс опасности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9541" w:type="dxa"/>
                  <w:gridSpan w:val="5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Обобщенные показатели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Водородный показатель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единицы рН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 пределах 6–9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Общая минерализация (сухой остаток)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1000 (1500)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Жесткость общая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ммоль/дм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7,0 (10)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Окисляемость перманганатная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Нефтепродукты, суммарно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Поверхностно-активные вещества (ПАВ), анионоактивные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Фенольный индекс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0,25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9541" w:type="dxa"/>
                  <w:gridSpan w:val="5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Неорганические вещества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Алюминий (Al-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Барий (Ва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Бериллий (Ве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0,0002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Бор (В,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Железо (Fe,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0,3 (1,0)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Кадмий (Сd,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0,001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Марганец (Мn,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0,1 (0,5)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Медь (Сu,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Молибден (Мо,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0,25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Мышьяк (Аs,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Никель (Ni,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Нитраты (по N0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Ртуть (Hg,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0,0005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Свинец (РЬ,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0,03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Селен (Se, суммарно)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0,01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Стронций (Sr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7,0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Сульфаты (SO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4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Фториды (F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1,5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Хлориды (Сl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Хром (Сг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6+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Цианиды (CN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0,035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Цинк (Zn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2+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9541" w:type="dxa"/>
                  <w:gridSpan w:val="5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Органические вещества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g-ГХЦГ (линдан)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0,002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ДДТ (сумма изомеров)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0,002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8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2,4-Д</w:t>
                  </w:r>
                </w:p>
              </w:tc>
              <w:tc>
                <w:tcPr>
                  <w:tcW w:w="128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0,03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Примечания:</w:t>
            </w:r>
          </w:p>
          <w:p>
            <w:pPr>
              <w:pStyle w:val="TableContents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Лимитирующий признак вредности вещества, по которому установлен норматив: «с.-т.» – санитарно-токсикологический, «орг.» – органолептический.</w:t>
            </w:r>
          </w:p>
          <w:p>
            <w:pPr>
              <w:pStyle w:val="TableContents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      </w:r>
          </w:p>
          <w:p>
            <w:pPr>
              <w:pStyle w:val="TableContents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Нормативы приняты в соответствии с рекомендациями ВОЗ.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Предельно допустимые концентрации вредных химических веществ, поступающих и образующихся в воде в процессе ее обработки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3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458"/>
              <w:gridCol w:w="1127"/>
              <w:gridCol w:w="2692"/>
              <w:gridCol w:w="1314"/>
              <w:gridCol w:w="950"/>
            </w:tblGrid>
            <w:tr>
              <w:trPr/>
              <w:tc>
                <w:tcPr>
                  <w:tcW w:w="3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Наименование показателя</w:t>
                  </w: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Единица измерения</w:t>
                  </w:r>
                </w:p>
              </w:tc>
              <w:tc>
                <w:tcPr>
                  <w:tcW w:w="269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Нормативы (предельно допустимые концентрации (ПДК), не более</w:t>
                  </w:r>
                </w:p>
              </w:tc>
              <w:tc>
                <w:tcPr>
                  <w:tcW w:w="131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Показатель вредности</w:t>
                  </w:r>
                </w:p>
              </w:tc>
              <w:tc>
                <w:tcPr>
                  <w:tcW w:w="95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Класс опасности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Хлор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br/>
                    <w:t>остаточный свободный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 пределах 0,3–0,5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остаточный связанный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 пределах 0,8–1,2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Хлороформ (при хлорировании воды)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Озон остаточный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0,3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Формальдегид (при озонировании воды)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0,05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Полиакриламид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2,0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Активированная кремнекислота (по Si)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Полифосфаты (по PО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4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3-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3,5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орг.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Остаточные количества алюминий- и железосодержащих коагулянтов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см. Показатели «Алюминий», «железо» таблицы 2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</w:tr>
            <w:tr>
              <w:trPr/>
              <w:tc>
                <w:tcPr>
                  <w:tcW w:w="34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Диоксид хлора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мг/дм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0,2</w:t>
                  </w:r>
                </w:p>
              </w:tc>
              <w:tc>
                <w:tcPr>
                  <w:tcW w:w="131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с.-т., орг. (запах)</w:t>
                  </w:r>
                </w:p>
              </w:tc>
              <w:tc>
                <w:tcPr>
                  <w:tcW w:w="95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Примечания: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При обеззараживании воды свободным хлором время его контакта с водой должно составлять не менее 30 минут, связанным хлором – не менее 60 минут.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Контроль за содержанием остаточного хлора производится перед подачей воды в распределительную сеть.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одновременном присутствии в воде свободного и связанного хлора их общая концентрация не должна превышать 1,2 мг/л.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В отдельных случаях по согласованию с органами госсаннадзора может быть допущена повышенная концентрация хлора в питьевой воде.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Норматив принят в соответствии с рекомендациями ВОЗ.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 Контроль за содержанием остаточного озона производится после камеры смешения при обеспечении времени контакта не менее 12 минут.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4" w:name="4.4.5"/>
            <w:bookmarkEnd w:id="4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4.4.5. 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признаку вредности, сумма отношений обнаруженных концентраций каждого из них в воде к величине его ПДК не должна быть больше 1. Расчет ведется по формуле </w:t>
            </w:r>
          </w:p>
          <w:tbl>
            <w:tblPr>
              <w:tblW w:w="495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4"/>
              <w:gridCol w:w="794"/>
              <w:gridCol w:w="298"/>
              <w:gridCol w:w="695"/>
              <w:gridCol w:w="695"/>
              <w:gridCol w:w="695"/>
              <w:gridCol w:w="3579"/>
            </w:tblGrid>
            <w:tr>
              <w:trPr/>
              <w:tc>
                <w:tcPr>
                  <w:tcW w:w="2784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bottom w:val="single" w:sz="8" w:space="0" w:color="000000"/>
                    <w:insideH w:val="single" w:sz="8" w:space="0" w:color="000000"/>
                  </w:tcBorders>
                  <w:shd w:fill="auto" w:val="clear"/>
                  <w:tcMar>
                    <w:bottom w:w="28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1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факт.</w:t>
                  </w:r>
                </w:p>
              </w:tc>
              <w:tc>
                <w:tcPr>
                  <w:tcW w:w="298" w:type="dxa"/>
                  <w:vMerge w:val="restart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±</w:t>
                  </w:r>
                </w:p>
              </w:tc>
              <w:tc>
                <w:tcPr>
                  <w:tcW w:w="695" w:type="dxa"/>
                  <w:tcBorders>
                    <w:bottom w:val="single" w:sz="8" w:space="0" w:color="000000"/>
                    <w:insideH w:val="single" w:sz="8" w:space="0" w:color="000000"/>
                  </w:tcBorders>
                  <w:shd w:fill="auto" w:val="clear"/>
                  <w:tcMar>
                    <w:bottom w:w="28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факт.</w:t>
                  </w:r>
                </w:p>
              </w:tc>
              <w:tc>
                <w:tcPr>
                  <w:tcW w:w="695" w:type="dxa"/>
                  <w:vMerge w:val="restart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± … ±</w:t>
                  </w:r>
                </w:p>
              </w:tc>
              <w:tc>
                <w:tcPr>
                  <w:tcW w:w="695" w:type="dxa"/>
                  <w:tcBorders>
                    <w:bottom w:val="single" w:sz="8" w:space="0" w:color="000000"/>
                    <w:insideH w:val="single" w:sz="8" w:space="0" w:color="000000"/>
                  </w:tcBorders>
                  <w:shd w:fill="auto" w:val="clear"/>
                  <w:tcMar>
                    <w:bottom w:w="28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n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факт.</w:t>
                  </w:r>
                </w:p>
              </w:tc>
              <w:tc>
                <w:tcPr>
                  <w:tcW w:w="3579" w:type="dxa"/>
                  <w:vMerge w:val="restart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  <w:u w:val="single"/>
                    </w:rPr>
                    <w:t>&lt;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 1,</w:t>
                  </w:r>
                </w:p>
              </w:tc>
            </w:tr>
            <w:tr>
              <w:trPr/>
              <w:tc>
                <w:tcPr>
                  <w:tcW w:w="2784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794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1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доп.</w:t>
                  </w:r>
                </w:p>
              </w:tc>
              <w:tc>
                <w:tcPr>
                  <w:tcW w:w="298" w:type="dxa"/>
                  <w:vMerge w:val="continue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695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доп.</w:t>
                  </w:r>
                </w:p>
              </w:tc>
              <w:tc>
                <w:tcPr>
                  <w:tcW w:w="695" w:type="dxa"/>
                  <w:vMerge w:val="continue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695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n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доп.</w:t>
                  </w:r>
                </w:p>
              </w:tc>
              <w:tc>
                <w:tcPr>
                  <w:tcW w:w="3579" w:type="dxa"/>
                  <w:vMerge w:val="continue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</w:tbl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где С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1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, С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2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, С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n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– концентрации индивидуальных химических веществ 1 и 2 класса опасности: факт (фактическая) и доп. (допустимая).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5" w:name="4.5"/>
            <w:bookmarkEnd w:id="4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4.5. Благоприятные органолептические свойства воды определяются ее соответствием нормативам, указанным в таблице 4, а также нормативам содержания веществ, оказывающих влияние на органолептические свойства воды, приведенным в таблицах 2, 3 и в приложении 2.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4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408"/>
              <w:gridCol w:w="4434"/>
              <w:gridCol w:w="2698"/>
            </w:tblGrid>
            <w:tr>
              <w:trPr/>
              <w:tc>
                <w:tcPr>
                  <w:tcW w:w="2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Наименование показателя</w:t>
                  </w:r>
                </w:p>
              </w:tc>
              <w:tc>
                <w:tcPr>
                  <w:tcW w:w="443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Единица измерения</w:t>
                  </w:r>
                </w:p>
              </w:tc>
              <w:tc>
                <w:tcPr>
                  <w:tcW w:w="269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Норматив, не более</w:t>
                  </w:r>
                </w:p>
              </w:tc>
            </w:tr>
            <w:tr>
              <w:trPr/>
              <w:tc>
                <w:tcPr>
                  <w:tcW w:w="240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Запах</w:t>
                  </w:r>
                </w:p>
              </w:tc>
              <w:tc>
                <w:tcPr>
                  <w:tcW w:w="4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баллы</w:t>
                  </w:r>
                </w:p>
              </w:tc>
              <w:tc>
                <w:tcPr>
                  <w:tcW w:w="269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240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Привкус</w:t>
                  </w:r>
                </w:p>
              </w:tc>
              <w:tc>
                <w:tcPr>
                  <w:tcW w:w="4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баллы</w:t>
                  </w:r>
                </w:p>
              </w:tc>
              <w:tc>
                <w:tcPr>
                  <w:tcW w:w="269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240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Цветность</w:t>
                  </w:r>
                </w:p>
              </w:tc>
              <w:tc>
                <w:tcPr>
                  <w:tcW w:w="4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градусы</w:t>
                  </w:r>
                </w:p>
              </w:tc>
              <w:tc>
                <w:tcPr>
                  <w:tcW w:w="269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20 (35)</w:t>
                  </w:r>
                </w:p>
              </w:tc>
            </w:tr>
            <w:tr>
              <w:trPr/>
              <w:tc>
                <w:tcPr>
                  <w:tcW w:w="240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Мутность</w:t>
                  </w:r>
                </w:p>
              </w:tc>
              <w:tc>
                <w:tcPr>
                  <w:tcW w:w="4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ЕМФ (единицы мутности по формазину) </w:t>
                    <w:br/>
                    <w:t>или мг/л (по коалину)</w:t>
                  </w:r>
                </w:p>
              </w:tc>
              <w:tc>
                <w:tcPr>
                  <w:tcW w:w="2698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2,6 (3,5)</w:t>
                    <w:br/>
                    <w:t>1,5 (2)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Примечание.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6" w:name="4.5.1"/>
            <w:bookmarkEnd w:id="4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4.5.1. Не допускается присутствие в питьевой воде различимых невооруженным глазом водных организмов и поверхностной пленки.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7" w:name="4.6"/>
            <w:bookmarkEnd w:id="4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4.6. Радиационная безопасность питьевой воды определяется ее соответствием нормативам по показателям общей a- и b-активности, представленным в таблице 5.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5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018"/>
              <w:gridCol w:w="2434"/>
              <w:gridCol w:w="2141"/>
              <w:gridCol w:w="1947"/>
            </w:tblGrid>
            <w:tr>
              <w:trPr/>
              <w:tc>
                <w:tcPr>
                  <w:tcW w:w="30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Показатели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Единицы измерения</w:t>
                  </w:r>
                </w:p>
              </w:tc>
              <w:tc>
                <w:tcPr>
                  <w:tcW w:w="214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Нормативы, не более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Показатель вредности</w:t>
                  </w:r>
                </w:p>
              </w:tc>
            </w:tr>
            <w:tr>
              <w:trPr/>
              <w:tc>
                <w:tcPr>
                  <w:tcW w:w="30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Общая a-радиоактивность</w:t>
                  </w:r>
                </w:p>
              </w:tc>
              <w:tc>
                <w:tcPr>
                  <w:tcW w:w="2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Бк/дм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4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94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радиац.</w:t>
                  </w:r>
                </w:p>
              </w:tc>
            </w:tr>
            <w:tr>
              <w:trPr/>
              <w:tc>
                <w:tcPr>
                  <w:tcW w:w="30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Общая b-радиоактивность</w:t>
                  </w:r>
                </w:p>
              </w:tc>
              <w:tc>
                <w:tcPr>
                  <w:tcW w:w="2434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Бк/дм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6"/>
                      <w:sz w:val="14"/>
                      <w:sz w:val="18"/>
                    </w:rPr>
                    <w:t>3</w:t>
                  </w:r>
                </w:p>
              </w:tc>
              <w:tc>
                <w:tcPr>
                  <w:tcW w:w="214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947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радиац.</w:t>
                  </w:r>
                </w:p>
              </w:tc>
            </w:tr>
          </w:tbl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8" w:name="4.6.1"/>
            <w:bookmarkEnd w:id="4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4.6.1. 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НРБ.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 Контроль качества питьевой воды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49" w:name="5.1"/>
            <w:bookmarkEnd w:id="4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5.1. В соответствии с Законом Республики Беларусь «О санитарно-эпидемическом благополучии населения» за качеством питьевой воды должен осуществляться производственный контроль, государственный и ведомственный санитарно-эпидемиологический надзор.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0" w:name="5.2"/>
            <w:bookmarkEnd w:id="5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5.2. Производственный контроль качества питьевой воды обеспечивается организацией, осуществляющей эксплуатацию системы водоснабжения, по рабочей программе, согласованной с территориальными органами государственного санитарного надзора.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Организация, осуществляющая эксплуатацию системы водоснабжения, в соответствии с рабочей программой постоянно контролирует качество воды в местах водозабора, перед поступлением в распределительную сеть, а также в точках водоразбора наружной и внутренней водопроводной сети.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1" w:name="5.3"/>
            <w:bookmarkEnd w:id="5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5.3. Количество и периодичность проб воды, отбираемых для лабораторных исследований в местах водозабора, устанавливаются с учетом требований, указанных в таблице 6.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6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089"/>
              <w:gridCol w:w="2532"/>
              <w:gridCol w:w="2919"/>
            </w:tblGrid>
            <w:tr>
              <w:trPr/>
              <w:tc>
                <w:tcPr>
                  <w:tcW w:w="4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Виды показателей</w:t>
                  </w:r>
                </w:p>
              </w:tc>
              <w:tc>
                <w:tcPr>
                  <w:tcW w:w="5451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Количество проб воды в течение одного года, не менее</w:t>
                  </w:r>
                </w:p>
              </w:tc>
            </w:tr>
            <w:tr>
              <w:trPr/>
              <w:tc>
                <w:tcPr>
                  <w:tcW w:w="4089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для подземных источников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для поверхностных источников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Микробиологические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 (по сезонам года)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12 (ежемесячно)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Паразитологические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Органолептические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Обобщенные показатели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»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Неорганические и органические вещества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 (по сезонам года)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Радиологические</w:t>
                  </w:r>
                </w:p>
              </w:tc>
              <w:tc>
                <w:tcPr>
                  <w:tcW w:w="2532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9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</w:tr>
          </w:tbl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2" w:name="5.4"/>
            <w:bookmarkEnd w:id="5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5.4. Виды определяемых показателей и количество исследуемых проб питьевой воды перед ее поступлением в распределительную сеть устанавливаются с учетом требований, указанных в таблице 7.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7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629"/>
              <w:gridCol w:w="1265"/>
              <w:gridCol w:w="1265"/>
              <w:gridCol w:w="1461"/>
              <w:gridCol w:w="1460"/>
              <w:gridCol w:w="1460"/>
            </w:tblGrid>
            <w:tr>
              <w:trPr/>
              <w:tc>
                <w:tcPr>
                  <w:tcW w:w="262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Виды показателей</w:t>
                  </w:r>
                </w:p>
              </w:tc>
              <w:tc>
                <w:tcPr>
                  <w:tcW w:w="6911" w:type="dxa"/>
                  <w:gridSpan w:val="5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Количество проб в течение одного года, не менее</w:t>
                  </w:r>
                </w:p>
              </w:tc>
            </w:tr>
            <w:tr>
              <w:trPr/>
              <w:tc>
                <w:tcPr>
                  <w:tcW w:w="2629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991" w:type="dxa"/>
                  <w:gridSpan w:val="3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для подземных источников</w:t>
                  </w:r>
                </w:p>
              </w:tc>
              <w:tc>
                <w:tcPr>
                  <w:tcW w:w="2920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для поверхностных источников</w:t>
                  </w:r>
                </w:p>
              </w:tc>
            </w:tr>
            <w:tr>
              <w:trPr/>
              <w:tc>
                <w:tcPr>
                  <w:tcW w:w="2629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6911" w:type="dxa"/>
                  <w:gridSpan w:val="5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численность населения, обеспечиваемого водой из данной системы водоснабжения, тыс. чел.</w:t>
                  </w:r>
                </w:p>
              </w:tc>
            </w:tr>
            <w:tr>
              <w:trPr/>
              <w:tc>
                <w:tcPr>
                  <w:tcW w:w="2629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до 20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20–100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свыше 100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до 100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свыше 100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Микробиологические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50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150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Паразитологические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–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–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–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48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48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Органолептические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50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1)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150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2)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365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3)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Обобщенные показатели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4)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6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5)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6)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6)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24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7)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Неорганические и органические вещества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4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4)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12</w:t>
                  </w: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position w:val="-5"/>
                      <w:sz w:val="14"/>
                      <w:sz w:val="18"/>
                    </w:rPr>
                    <w:t>6)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Показатели, связанные с технологией водоподготовки</w:t>
                  </w:r>
                </w:p>
              </w:tc>
              <w:tc>
                <w:tcPr>
                  <w:tcW w:w="6911" w:type="dxa"/>
                  <w:gridSpan w:val="5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Остаточный хлор, остаточный озон – не реже одного раза в час, остальные реагенты и вещества, содержание которых оптимизируется (железо и др.) – не реже одного раза в смену</w:t>
                  </w:r>
                </w:p>
              </w:tc>
            </w:tr>
            <w:tr>
              <w:trPr/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Радиологические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26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61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Примечания: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Принимается следующая периодичность отбора проб воды: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1) – еженедельно, 2) – три раза в неделю, 3) – ежедневно, 4) – один раз в сезон года, 5) – один раз в два месяца, 6) – ежемесячно, 7) – два раза в месяц.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При отсутствии обеззараживания воды на водопроводе из подземных источников, обеспечивающем водой население до 20 тыс. человек, отбор проб для исследований по микробиологическим и органолептическим показателям проводится не реже одного раза в месяц.</w:t>
            </w:r>
          </w:p>
          <w:p>
            <w:pPr>
              <w:pStyle w:val="TableContents"/>
              <w:spacing w:before="0" w:after="283"/>
              <w:ind w:left="0" w:right="0" w:firstLine="567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 На период паводков и чрезвычайных ситуаций должен устанавливаться усиленный режим контроля качества питьевой воды по согласованию с центром госсаннадзора.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3" w:name="5.5"/>
            <w:bookmarkEnd w:id="5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5.5. 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в таблице 8.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Таблица 8 </w:t>
            </w:r>
          </w:p>
          <w:tbl>
            <w:tblPr>
              <w:tblW w:w="4950" w:type="pct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915"/>
              <w:gridCol w:w="4625"/>
            </w:tblGrid>
            <w:tr>
              <w:trPr/>
              <w:tc>
                <w:tcPr>
                  <w:tcW w:w="4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Количество обслуживаемого населения, тыс. человек</w:t>
                  </w:r>
                </w:p>
              </w:tc>
              <w:tc>
                <w:tcPr>
                  <w:tcW w:w="462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center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Количество проб в месяц</w:t>
                  </w:r>
                </w:p>
              </w:tc>
            </w:tr>
            <w:tr>
              <w:trPr/>
              <w:tc>
                <w:tcPr>
                  <w:tcW w:w="49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до 10</w:t>
                  </w:r>
                </w:p>
              </w:tc>
              <w:tc>
                <w:tcPr>
                  <w:tcW w:w="462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rPr/>
              <w:tc>
                <w:tcPr>
                  <w:tcW w:w="49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10–20</w:t>
                  </w:r>
                </w:p>
              </w:tc>
              <w:tc>
                <w:tcPr>
                  <w:tcW w:w="462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</w:t>
                  </w:r>
                </w:p>
              </w:tc>
            </w:tr>
            <w:tr>
              <w:trPr/>
              <w:tc>
                <w:tcPr>
                  <w:tcW w:w="49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20–50</w:t>
                  </w:r>
                </w:p>
              </w:tc>
              <w:tc>
                <w:tcPr>
                  <w:tcW w:w="462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30</w:t>
                  </w:r>
                </w:p>
              </w:tc>
            </w:tr>
            <w:tr>
              <w:trPr/>
              <w:tc>
                <w:tcPr>
                  <w:tcW w:w="49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50–100</w:t>
                  </w:r>
                </w:p>
              </w:tc>
              <w:tc>
                <w:tcPr>
                  <w:tcW w:w="462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100</w:t>
                  </w:r>
                </w:p>
              </w:tc>
            </w:tr>
            <w:tr>
              <w:trPr/>
              <w:tc>
                <w:tcPr>
                  <w:tcW w:w="49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более 100</w:t>
                  </w:r>
                </w:p>
              </w:tc>
              <w:tc>
                <w:tcPr>
                  <w:tcW w:w="462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100 + 1 проба на каждые 5 тыс. человек, свыше 100 тысяч населения</w:t>
                  </w:r>
                </w:p>
              </w:tc>
            </w:tr>
          </w:tbl>
          <w:p>
            <w:pPr>
              <w:pStyle w:val="TableContents"/>
              <w:spacing w:before="0" w:after="283"/>
              <w:ind w:left="0" w:right="0" w:firstLine="567"/>
              <w:rPr>
                <w:caps w:val="false"/>
                <w:smallCaps w:val="false"/>
                <w:color w:val="000000"/>
              </w:rPr>
            </w:pPr>
            <w:r>
              <w:rPr>
                <w:caps w:val="false"/>
                <w:smallCaps w:val="false"/>
                <w:color w:val="000000"/>
              </w:rPr>
              <w:t> 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Примечание. В число проб не входят обязательные контрольные пробы после ремонта и иных технических работ на распределительной сети. 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4" w:name="5.6"/>
            <w:bookmarkEnd w:id="5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5.6. Отбор проб в распределительной сети проводят из уличных водозаборных устройств на наиболее возвышенных и тупиковых ее участках, а также из кранов внутренних водопроводных сетей всех домов, имеющих подкачку и местные водонапорные баки.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5" w:name="5.7"/>
            <w:bookmarkEnd w:id="5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5.7. Производственный контроль качества питьевой воды в соответствии с рабочей программой осуществляется лабораториями организаций, эксплуатирующих системы водоснабжения, или по договорам с ними лабораториями других организаций, аккредитованными в установленном порядке на право выполнения исследований (испытаний) качества питьевой воды.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6" w:name="5.8"/>
            <w:bookmarkEnd w:id="5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5.8. Государственный санитарно-эпидемиологический надзор за качеством питьевой воды осуществляют центры гигиены и эпидемиологии соответствующих территорий, ведомственный санитарно-эпидемиологический надзор – санитарно-эпидемиологические учреждения, организации и подразделения, уполномоченные на осуществление данной функции.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7" w:name="5.9"/>
            <w:bookmarkEnd w:id="5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5.9. Организация и проведение государственного и ведомственного санитарно-эпидемиологического надзора осуществляется в соответствии с нормативными и методическими документами органов госсаннадзора Беларуси в плановом порядке и по санитарно-эпидемиологическим показаниям.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58" w:name="5.10"/>
            <w:bookmarkEnd w:id="5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5.10. Для проведения лабораторных исследований (измерений) качества питьевой воды допускаются метрологически аттестованные методики, а также методики, утвержденные или допущенные к применению Госстандартом или Госсаннадзором Беларуси. Отбор проб воды для анализа проводят в соответствии с требованиями государственных стандартов. </w:t>
            </w:r>
          </w:p>
          <w:tbl>
            <w:tblPr>
              <w:tblW w:w="495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4"/>
              <w:gridCol w:w="3276"/>
            </w:tblGrid>
            <w:tr>
              <w:trPr/>
              <w:tc>
                <w:tcPr>
                  <w:tcW w:w="6264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3276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</w:pPr>
                  <w:bookmarkStart w:id="59" w:name="11"/>
                  <w:bookmarkEnd w:id="59"/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Приложение 1</w:t>
                  </w:r>
                </w:p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 СанПиН 10–124 РБ 99 </w:t>
                    <w:br/>
                    <w:t>«Питьевая вода. Гигиенические </w:t>
                    <w:br/>
                    <w:t>требования к качеству воды </w:t>
                    <w:br/>
                    <w:t>централизованных систем </w:t>
                    <w:br/>
                    <w:t>питьевого водоснабжения. </w:t>
                    <w:br/>
                    <w:t>Контроль качества» </w:t>
                    <w:br/>
                    <w:t>(обязательное)</w:t>
                  </w:r>
                </w:p>
              </w:tc>
            </w:tr>
          </w:tbl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ПРАВИЛА</w:t>
              <w:br/>
              <w:t>установления контролируемых показателей качества питьевой воды и составления рабочей программы производственного контроля качества питьевой воды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Порядок организации работ по выбору показателей химического состава питьевой воды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0" w:name="1.11"/>
            <w:bookmarkEnd w:id="6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1.1. В соответствии с п. 3.3.3 настоящих Санитарных правил выбор показателей химического состава питьевой воды, подлежащих постоянному производственному контролю, проводится для каждой системы водоснабжения на основании результатов оценки химического состава воды источников водоснабжения, а также технологии производства питьевой воды в системе водоснабжения.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1" w:name="1.21"/>
            <w:bookmarkEnd w:id="6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 Выбор показателей, характеризующих химический состав питьевой воды, для проведения расширенных исследований проводится организацией, осуществляющей эксплуатацию системы водоснабжения, совместно с центром гигиены и эпидемиологии в городе, районе в два этапа.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2" w:name="1.2.1"/>
            <w:bookmarkEnd w:id="6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1.2.1. На первом этапе организацией, осуществляющей эксплуатацию системы водоснабжения, совместно с центром гигиены и эпидемиологии анализируются следующие материалы за период не менее 3 последних лет:</w:t>
            </w:r>
          </w:p>
          <w:p>
            <w:pPr>
              <w:pStyle w:val="TableContents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государственной статистической отчетности предприятий и организаций, а также иных официальных данных о составе и объемах сточных вод, поступающих в источники водоснабжения выше места водозабора в пределах их водосборной территории;</w:t>
            </w:r>
          </w:p>
          <w:p>
            <w:pPr>
              <w:pStyle w:val="TableContents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органов охраны природы, гидрометеослужбы, управления водными ресурсами, геологии и использования недр, предприятий и организаций о качестве поверхностных, подземных вод и питьевой воды в системе водоснабжения по результатам осуществляемого ими мониторинга качества вод и производственного контроля;</w:t>
            </w:r>
          </w:p>
          <w:p>
            <w:pPr>
              <w:pStyle w:val="TableContents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центра гигиены и эпидемиологии по результатам санитарных обследований предприятий и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</w:t>
            </w:r>
          </w:p>
          <w:p>
            <w:pPr>
              <w:pStyle w:val="TableContents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органов управления и организаций сельского хозяйства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На основании проведенного анализа составляется перечень веществ, характеризующих химический состав воды конкретного источника водоснабжения и имеющих гигиенические нормативы в соответствии с приложением 2 настоящих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3" w:name="1.2.2"/>
            <w:bookmarkEnd w:id="6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 На втором этапе организацией, осуществляющей эксплуатацию системы водоснабжения, проводятся расширенные лабораторные исследования воды по составленному перечню химических веществ, а также по показателям, приведенным в таблице 2 настоящих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4" w:name="1.2.2.1"/>
            <w:bookmarkEnd w:id="6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1.2.2.1. 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показатели, указанные в таблице 3 настоящих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5" w:name="1.2.2.2"/>
            <w:bookmarkEnd w:id="6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1.2.2.2. Расширенные лабораторные исследования воды проводятся в течение одного года в местах водозабора системы водоснабжения, а при наличии обработки воды или смешения воды различных водозаборов – также перед подачей питьевой воды в распределительную сеть.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6" w:name="1.2.2.3"/>
            <w:bookmarkEnd w:id="6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1.2.2.3. Минимальное количество исследуемых проб воды в зависимости от типа источника водоснабжения, позволяющее обеспечить равномерность получения информации о качестве воды в течение года, принимается:</w:t>
            </w:r>
          </w:p>
          <w:p>
            <w:pPr>
              <w:pStyle w:val="TableContents"/>
              <w:numPr>
                <w:ilvl w:val="0"/>
                <w:numId w:val="6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для подземных источников – 4 пробы в год, отбираемых в каждый сезон;</w:t>
            </w:r>
          </w:p>
          <w:p>
            <w:pPr>
              <w:pStyle w:val="TableContents"/>
              <w:numPr>
                <w:ilvl w:val="0"/>
                <w:numId w:val="6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для поверхностных источников – 12 проб в год, отбираемых ежемесячно.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7" w:name="1.2.2.4"/>
            <w:bookmarkEnd w:id="6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1.2.2.4. 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должны быть увеличены в соответствии с поставленными задачами оценки качества воды источника водоснабжения.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8" w:name="1.2.2.5"/>
            <w:bookmarkEnd w:id="6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1.2.2.5. При проведении расширенных исследований рекомендуется применение современных универсальных физико-химических методов исследования водных сред (хромато-масс-спектрометрических и других), позволяющих получить максимально полную информацию о химическом составе воды.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69" w:name="1.31"/>
            <w:bookmarkEnd w:id="6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1.3. Владельцами хозяйственно-питьевых водопроводов совместно с центрами гигиены и эпидемиологии анализируются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санитарно-эпидемиологической обстановки на территории города, населенного пункта, района определяется потенциальная опасность влияния присутствующих в воде химических веществ на здоровье населения.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0" w:name="1.41"/>
            <w:bookmarkEnd w:id="7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1.4. На основании проведенной оценки владельцы хозяйственно-питьевых водопроводов совместно с центром гигиены и эпидемиологии разрабатывают предложения по перечню контролируемых показателей, количеству и периодичности отбора проб питьевой воды для постоянного производственного контроля.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Порядок составления рабочей программы производственного контроля качества питьевой воды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1" w:name="2.11"/>
            <w:bookmarkEnd w:id="7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2.1. Организация, осуществляющая эксплуатацию системы водоснабжения, на основании настоящих Санитарных правил разрабатывает рабочую программу.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2" w:name="2.21"/>
            <w:bookmarkEnd w:id="7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2.2. Для системы водоснабжения, имеющей несколько водозаборов, рабочая программа составляется для каждого водозабора с учетом его особенностей. Для подземных водозаборов, объединенных общей зоной санитарной охраны и эксплуатирующих один водоносный горизонт может составляться одна рабочая программа при наличии гидрогеологического обоснования.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3" w:name="2.31"/>
            <w:bookmarkEnd w:id="73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 Рабочая программа должна содержать: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4" w:name="2.3.1"/>
            <w:bookmarkEnd w:id="7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2.3.1. перечень контролируемых показателей качества воды и их гигиенические нормативы, установленные настоящими Санитарными правилами:</w:t>
            </w:r>
          </w:p>
          <w:p>
            <w:pPr>
              <w:pStyle w:val="TableContents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микробиологические и паразитологические (п. 4.3, таблица 1);</w:t>
            </w:r>
          </w:p>
          <w:p>
            <w:pPr>
              <w:pStyle w:val="TableContents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органолептические (п. 4.5, таблица 4);</w:t>
            </w:r>
          </w:p>
          <w:p>
            <w:pPr>
              <w:pStyle w:val="TableContents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радиологические (п. 4.6, таблица 5);</w:t>
            </w:r>
          </w:p>
          <w:p>
            <w:pPr>
              <w:pStyle w:val="TableContents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обобщенные (п. 4.4.1, таблица 2);</w:t>
            </w:r>
          </w:p>
          <w:p>
            <w:pPr>
              <w:pStyle w:val="TableContents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химические вещества, выбранные для постоянного контроля в соответствии с правилами, указанными в разделе 1 настоящего приложения (п. 4.4.1, таблица 2 и п. 4.4.3, приложение 2 Санитарных правил);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5" w:name="2.3.2"/>
            <w:bookmarkEnd w:id="7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2.3.2. методику определения контролируемых показателей;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6" w:name="2.3.3"/>
            <w:bookmarkEnd w:id="7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2.3.3. план пунктов отбора проб воды в местах водозабора, перед подачей воды в распределительную сеть водопровода и в пунктах водоразбора наружной и внутренней сети водопровода;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7" w:name="2.3.4"/>
            <w:bookmarkEnd w:id="7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2.3.4. количество контролируемых проб воды и периодичность их отбора для лабораторных исследований (испытаний), перечень показателей, определяемых в исследуемых пробах воды;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8" w:name="2.3.5"/>
            <w:bookmarkEnd w:id="7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2.3.5. календарные графики отбора проб воды и проведения их исследования (испытания).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79" w:name="2.41"/>
            <w:bookmarkEnd w:id="7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2.4. Количество исследуемых проб воды и периодичность их отбора определяются для каждой системы водоснабжения индивидуально с учетом предложений центра гигиены и эпидемиологии, но не должны быть ниже установленных п. 5.3, таблица 6, п. 5.4, таблица 7 и п. 5.5, таблица 8 настоящих Санитарных правил.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0" w:name="2.51"/>
            <w:bookmarkEnd w:id="8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2.5. 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 администрации системы водоснабжения, центру гигиены и эпидемиологии и органу местного самоуправления.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1" w:name="2.61"/>
            <w:bookmarkEnd w:id="8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2.6. Рабочая программа представляется для согласования в центр гигиены и эпидемиологии в городе, районе и последующего утверждения администрацией соответствующего органа местного самоуправления.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2" w:name="2.71"/>
            <w:bookmarkEnd w:id="82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2.7. Рабочая программа утверждается на срок не более 5 лет. В течение указанного срока в рабочую программу могут вноситься изменения и дополнения по согласованию с центром гигиены и эпидемиологии. </w:t>
            </w:r>
          </w:p>
          <w:tbl>
            <w:tblPr>
              <w:tblW w:w="495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4"/>
              <w:gridCol w:w="3276"/>
            </w:tblGrid>
            <w:tr>
              <w:trPr/>
              <w:tc>
                <w:tcPr>
                  <w:tcW w:w="6264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jc w:val="left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caps w:val="false"/>
                      <w:smallCaps w:val="false"/>
                      <w:color w:val="000000"/>
                    </w:rPr>
                    <w:t> </w:t>
                  </w:r>
                </w:p>
              </w:tc>
              <w:tc>
                <w:tcPr>
                  <w:tcW w:w="3276" w:type="dxa"/>
                  <w:tcBorders/>
                  <w:shd w:fill="auto" w:val="clear"/>
                </w:tcPr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</w:pPr>
                  <w:bookmarkStart w:id="83" w:name="21"/>
                  <w:bookmarkEnd w:id="83"/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Приложение 2</w:t>
                  </w:r>
                </w:p>
                <w:p>
                  <w:pPr>
                    <w:pStyle w:val="TableContents"/>
                    <w:spacing w:before="0" w:after="283"/>
                    <w:rPr>
                      <w:rFonts w:ascii="Tahoma;Verdana;sans-serif" w:hAnsi="Tahoma;Verdana;sans-serif" w:eastAsia="Tahoma;Verdana;sans-serif" w:cs="Tahoma;Verdana;sans-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;Verdana;sans-serif" w:hAnsi="Tahoma;Verdana;sans-serif"/>
                      <w:b w:val="false"/>
                      <w:i w:val="false"/>
                      <w:caps w:val="false"/>
                      <w:smallCaps w:val="false"/>
                      <w:color w:val="000000"/>
                      <w:sz w:val="18"/>
                    </w:rPr>
                    <w:t>к СанПиН 10–124 РБ 99 </w:t>
                    <w:br/>
                    <w:t>«Питьевая вода. Гигиенические </w:t>
                    <w:br/>
                    <w:t>требования к качеству воды </w:t>
                    <w:br/>
                    <w:t>централизованных систем </w:t>
                    <w:br/>
                    <w:t>питьевого водоснабжения. </w:t>
                    <w:br/>
                    <w:t>Контроль качества» </w:t>
                    <w:br/>
                    <w:t>(обязательное)</w:t>
                  </w:r>
                </w:p>
              </w:tc>
            </w:tr>
          </w:tbl>
          <w:p>
            <w:pPr>
              <w:pStyle w:val="TableContents"/>
              <w:spacing w:before="0" w:after="283"/>
              <w:rPr/>
            </w:pPr>
            <w:hyperlink r:id="rId3">
              <w:r>
                <w:rPr>
                  <w:rStyle w:val="StrongEmphasis"/>
                  <w:rFonts w:ascii="Tahoma;Verdana;sans-serif" w:hAnsi="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4609B"/>
                  <w:sz w:val="18"/>
                  <w:u w:val="none"/>
                  <w:effect w:val="none"/>
                </w:rPr>
                <w:t>ГИГИЕНИЧЕСКИЕ НОРМАТИВЫ</w:t>
                <w:br/>
                <w:t>содержания вредных веществ в питьевой воде</w:t>
              </w:r>
            </w:hyperlink>
          </w:p>
          <w:p>
            <w:pPr>
              <w:pStyle w:val="TableContents"/>
              <w:spacing w:before="0" w:after="283"/>
              <w:rPr/>
            </w:pPr>
            <w:hyperlink r:id="rId4">
              <w:r>
                <w:rPr>
                  <w:rStyle w:val="InternetLink"/>
                  <w:rFonts w:ascii="Tahoma;Verdana;sans-serif" w:hAnsi="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4609B"/>
                  <w:sz w:val="18"/>
                  <w:u w:val="none"/>
                  <w:effect w:val="none"/>
                </w:rPr>
                <w:t>Скачать</w:t>
              </w:r>
            </w:hyperlink>
          </w:p>
          <w:p>
            <w:pPr>
              <w:pStyle w:val="TableContents"/>
              <w:spacing w:before="0" w:after="283"/>
              <w:rPr/>
            </w:pPr>
            <w:bookmarkStart w:id="84" w:name="12"/>
            <w:bookmarkEnd w:id="84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1. </w:t>
            </w:r>
            <w:hyperlink r:id="rId5">
              <w:r>
                <w:rPr>
                  <w:rStyle w:val="InternetLink"/>
                  <w:rFonts w:ascii="Tahoma;Verdana;sans-serif" w:hAnsi="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4609B"/>
                  <w:sz w:val="18"/>
                  <w:u w:val="none"/>
                  <w:effect w:val="none"/>
                </w:rPr>
                <w:t>В настоящий список включены гигиенические нормативы вредных веществ в питьевой воде.</w:t>
              </w:r>
            </w:hyperlink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 В него входят индивидуальные химические вещества, которые могут присутствовать в питьевой воде в указанном виде и могут быть идентифицированы современными аналитическими методами.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5" w:name="22"/>
            <w:bookmarkEnd w:id="85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2. Химические вещества расположены в списке в соответствии со строением органических и неорганических соединений. Каждый подраздел является расширением соответствующего раздела. Внутри подразделов вещества расположены в порядке возрастания численных значений их нормативов.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Если строение молекулы органического вещества позволяет отнести его одновременно к нескольким химическим классам, то в перечне его помещают по функциональной группе, с наибольшим индексом расширения (по горизонтальной рубрикации).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Органические кислоты, в том числе, пестициды, нормируются по аниону, независимо от того, в какой форме представлена данная кислота в перечне (в виде кислоты, ее аниона или ее соли).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Элементы и катионы (п. 1 раздела «неорганические вещества») нормируются суммарно для всех степеней окисления, если это не указано иначе.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6" w:name="3"/>
            <w:bookmarkEnd w:id="86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 Перечень имеет следующую вертикальную рубрикацию: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7" w:name="3.11"/>
            <w:bookmarkEnd w:id="87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3.1. В первой колонке перечня приведены наиболее часто употребляемые названия химических веществ.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8" w:name="3.21"/>
            <w:bookmarkEnd w:id="88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3.2. Во второй колонке приведены синонимы названий химических веществ и некоторые тривиальные и общепринятые наименования.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89" w:name="3.3%2F3"/>
            <w:bookmarkEnd w:id="89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3.3. В третьей колонке приведены величины ПДК или ОДУ в мг/дм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position w:val="6"/>
                <w:sz w:val="14"/>
                <w:sz w:val="18"/>
              </w:rPr>
              <w:t>3</w:t>
            </w: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, где:</w:t>
            </w:r>
          </w:p>
          <w:p>
            <w:pPr>
              <w:pStyle w:val="TableContents"/>
              <w:numPr>
                <w:ilvl w:val="0"/>
                <w:numId w:val="8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ПДК –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</w:t>
            </w:r>
          </w:p>
          <w:p>
            <w:pPr>
              <w:pStyle w:val="TableContents"/>
              <w:numPr>
                <w:ilvl w:val="0"/>
                <w:numId w:val="8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ОДУ (отмечены звездочкой) – ориентировочные допустимые уровни веществ в водопроводной воде, разработанные на основе расчетных и экспресс-экспериментальных методов прогноза токсичности.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Если в колонке величины нормативов указано «отсутствие», это означает, что концентрация данного соединения в питьевой воде должна быть ниже предела обнаружения применяемого метода анализа.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90" w:name="3.41"/>
            <w:bookmarkEnd w:id="90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3.4. В четвертой колонке указан лимитирующий признак вредности веществ, по которому установлен норматив:</w:t>
            </w:r>
          </w:p>
          <w:p>
            <w:pPr>
              <w:pStyle w:val="TableContents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с.-т. – санитарно-токсикологический;</w:t>
            </w:r>
          </w:p>
          <w:p>
            <w:pPr>
              <w:pStyle w:val="TableContents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орг. – органолептический с расшифровкой характера изменения органолептических свойств воды (зап. – изменяет запах воды; окр. – придает воде окраску; пен. – вызывает образование пены; пл. – образует пленку на поверхности воды; привк. – придает воде привкус; оп – вызывает опалесценцию).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bookmarkStart w:id="91" w:name="3.51"/>
            <w:bookmarkEnd w:id="91"/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3.5. В пятой колонке указан класс опасности вещества: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 класс – чрезвычайно опасные;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 класс – высокоопасные;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 класс – опасные;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 класс – умеренно опасные.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вредности.</w:t>
            </w:r>
          </w:p>
          <w:p>
            <w:pPr>
              <w:pStyle w:val="TableContents"/>
              <w:spacing w:before="0" w:after="283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Классы опасности веществ учитывают: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выборе соединений, подлежащих первоочередному контролю в питьевой воде;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установлении последовательности водоохранных мероприятий, требующих дополнительных капиталовложений;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clear" w:pos="709"/>
                <w:tab w:val="left" w:pos="0" w:leader="none"/>
              </w:tabs>
              <w:ind w:left="707" w:hanging="283"/>
              <w:jc w:val="both"/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обосновании рекомендаций о замене в технологических процессах высокоопасных веществ на менее опасные;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clear" w:pos="709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ahoma;Verdana;sans-serif" w:hAnsi="Tahoma;Verdana;sans-serif" w:eastAsia="Tahoma;Verdana;sans-serif" w:cs="Tahoma;Verdana;sans-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18"/>
                <w:szCs w:val="18"/>
              </w:rPr>
            </w:pPr>
            <w:r>
              <w:rPr>
                <w:rFonts w:ascii="Tahoma;Verdana;sans-serif" w:hAnsi="Tahoma;Verdana;sans-serif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при определении приоритетности разработки селективных методов аналитического контроля веществ в воде.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altName w:val="Verdana"/>
    <w:charset w:val="00"/>
    <w:family w:val="auto"/>
    <w:pitch w:val="default"/>
  </w:font>
  <w:font w:name="Arial">
    <w:altName w:val="Verdana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s://mshp.gov.by/ochrtrud/gigiennormativ.docx" TargetMode="External"/><Relationship Id="rId4" Type="http://schemas.openxmlformats.org/officeDocument/2006/relationships/hyperlink" Target="https://mshp.gov.by/ochrtrud/gigiennormativ.docx" TargetMode="External"/><Relationship Id="rId5" Type="http://schemas.openxmlformats.org/officeDocument/2006/relationships/hyperlink" Target="https://mshp.gov.by/ochrtrud/gigiennormativ.docx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14</Pages>
  <Words>4429</Words>
  <Characters>31685</Characters>
  <CharactersWithSpaces>35618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2019-07-15T14:12:52Z</dcterms:created>
  <dc:creator/>
  <dc:description/>
  <dc:language>en-GB</dc:language>
  <cp:lastModifiedBy/>
  <dcterms:modified xsi:type="dcterms:W3CDTF">2019-07-15T14:13:33Z</dcterms:modified>
  <cp:revision>1</cp:revision>
  <dc:subject/>
  <dc:title/>
</cp:coreProperties>
</file>